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Grilledutableau"/>
        <w:tblW w:w="0" w:type="auto"/>
        <w:tblLayout w:type="fixed"/>
        <w:tblLook w:val="04A0" w:firstRow="1" w:lastRow="0" w:firstColumn="1" w:lastColumn="0" w:noHBand="0" w:noVBand="1"/>
      </w:tblPr>
      <w:tblGrid>
        <w:gridCol w:w="1354"/>
        <w:gridCol w:w="1781"/>
        <w:gridCol w:w="126"/>
        <w:gridCol w:w="1837"/>
        <w:gridCol w:w="1418"/>
        <w:gridCol w:w="471"/>
        <w:gridCol w:w="96"/>
        <w:gridCol w:w="1154"/>
        <w:gridCol w:w="779"/>
      </w:tblGrid>
      <w:tr w:rsidR="00EB1DC5" w:rsidRPr="000A0C6A" w14:paraId="108DB2C3" w14:textId="77777777" w:rsidTr="00D854EE">
        <w:tc>
          <w:tcPr>
            <w:tcW w:w="3261"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755" w:type="dxa"/>
            <w:gridSpan w:val="6"/>
          </w:tcPr>
          <w:p w14:paraId="2A300DC9" w14:textId="594E3AAA" w:rsidR="008301D3" w:rsidRPr="000A0C6A" w:rsidRDefault="00D854EE">
            <w:pPr>
              <w:rPr>
                <w:rFonts w:ascii="Arial" w:hAnsi="Arial" w:cs="Arial"/>
                <w:bCs/>
                <w:sz w:val="24"/>
                <w:szCs w:val="24"/>
                <w:lang w:val="en-GB"/>
              </w:rPr>
            </w:pPr>
            <w:r>
              <w:rPr>
                <w:rFonts w:ascii="Arial" w:hAnsi="Arial" w:cs="Arial"/>
                <w:sz w:val="24"/>
                <w:szCs w:val="24"/>
                <w:lang w:val="en-GB"/>
              </w:rPr>
              <w:t xml:space="preserve">IPAG Online </w:t>
            </w:r>
            <w:r w:rsidR="000A0C6A">
              <w:rPr>
                <w:rFonts w:ascii="Arial" w:hAnsi="Arial" w:cs="Arial"/>
                <w:sz w:val="24"/>
                <w:szCs w:val="24"/>
                <w:lang w:val="en-GB"/>
              </w:rPr>
              <w:t>– Data science path</w:t>
            </w:r>
          </w:p>
        </w:tc>
      </w:tr>
      <w:tr w:rsidR="00C659D3" w:rsidRPr="000A0C6A" w14:paraId="6BCD5754" w14:textId="77777777" w:rsidTr="00D854EE">
        <w:tc>
          <w:tcPr>
            <w:tcW w:w="6987" w:type="dxa"/>
            <w:gridSpan w:val="6"/>
          </w:tcPr>
          <w:p w14:paraId="270F950B" w14:textId="3DC943B2"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r w:rsidR="00D854EE">
              <w:rPr>
                <w:rFonts w:ascii="Arial" w:hAnsi="Arial" w:cs="Arial"/>
                <w:lang w:val="en-GB"/>
              </w:rPr>
              <w:t>: /</w:t>
            </w:r>
          </w:p>
        </w:tc>
        <w:tc>
          <w:tcPr>
            <w:tcW w:w="2029" w:type="dxa"/>
            <w:gridSpan w:val="3"/>
          </w:tcPr>
          <w:p w14:paraId="1BD5954C" w14:textId="77777777" w:rsidR="00C659D3" w:rsidRDefault="00C659D3">
            <w:pPr>
              <w:rPr>
                <w:rFonts w:ascii="Arial" w:hAnsi="Arial" w:cs="Arial"/>
                <w:b/>
                <w:bCs/>
                <w:sz w:val="24"/>
                <w:szCs w:val="24"/>
                <w:lang w:val="en-GB"/>
              </w:rPr>
            </w:pPr>
          </w:p>
        </w:tc>
      </w:tr>
      <w:tr w:rsidR="00BE7E30" w:rsidRPr="000A0C6A" w14:paraId="069F66E9" w14:textId="77777777" w:rsidTr="00D854EE">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rsidRPr="00D854EE" w14:paraId="39E9A3F9" w14:textId="77777777" w:rsidTr="00D854EE">
        <w:tc>
          <w:tcPr>
            <w:tcW w:w="1354"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78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w:t>
            </w:r>
            <w:r w:rsidRPr="000A0C6A">
              <w:rPr>
                <w:rFonts w:ascii="Arial" w:hAnsi="Arial" w:cs="Arial"/>
                <w:highlight w:val="yellow"/>
                <w:lang w:val="en-GB"/>
              </w:rPr>
              <w:t>best practice</w:t>
            </w:r>
            <w:r w:rsidR="00BE7E30" w:rsidRPr="000A0C6A">
              <w:rPr>
                <w:rFonts w:ascii="Arial" w:hAnsi="Arial" w:cs="Arial"/>
                <w:highlight w:val="yellow"/>
                <w:lang w:val="en-GB"/>
              </w:rPr>
              <w:t>?</w:t>
            </w:r>
          </w:p>
        </w:tc>
        <w:tc>
          <w:tcPr>
            <w:tcW w:w="1963" w:type="dxa"/>
            <w:gridSpan w:val="2"/>
          </w:tcPr>
          <w:p w14:paraId="1A60BEF8" w14:textId="5BFC33FB" w:rsidR="00BE7E30" w:rsidRPr="009E6497" w:rsidRDefault="000A0C6A">
            <w:pPr>
              <w:rPr>
                <w:rFonts w:ascii="Arial" w:hAnsi="Arial" w:cs="Arial"/>
                <w:lang w:val="en-GB"/>
              </w:rPr>
            </w:pPr>
            <w:r>
              <w:rPr>
                <w:rFonts w:ascii="Arial" w:hAnsi="Arial" w:cs="Arial"/>
                <w:lang w:val="en-GB"/>
              </w:rPr>
              <w:t xml:space="preserve">The </w:t>
            </w:r>
            <w:proofErr w:type="spellStart"/>
            <w:r>
              <w:rPr>
                <w:rFonts w:ascii="Arial" w:hAnsi="Arial" w:cs="Arial"/>
                <w:lang w:val="en-GB"/>
              </w:rPr>
              <w:t>datascience</w:t>
            </w:r>
            <w:proofErr w:type="spellEnd"/>
            <w:r>
              <w:rPr>
                <w:rFonts w:ascii="Arial" w:hAnsi="Arial" w:cs="Arial"/>
                <w:lang w:val="en-GB"/>
              </w:rPr>
              <w:t xml:space="preserve"> path are developed by an external provider and LMS. It aims to a double diploma, full online.</w:t>
            </w:r>
          </w:p>
        </w:tc>
        <w:tc>
          <w:tcPr>
            <w:tcW w:w="1418"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567" w:type="dxa"/>
            <w:gridSpan w:val="2"/>
          </w:tcPr>
          <w:p w14:paraId="61F7BA93" w14:textId="24CE3813" w:rsidR="00BE7E30" w:rsidRPr="009E6497" w:rsidRDefault="00D854EE">
            <w:pPr>
              <w:rPr>
                <w:rFonts w:ascii="Arial" w:hAnsi="Arial" w:cs="Arial"/>
                <w:lang w:val="en-GB"/>
              </w:rPr>
            </w:pPr>
            <w:r>
              <w:rPr>
                <w:rFonts w:ascii="Arial" w:hAnsi="Arial" w:cs="Arial"/>
                <w:lang w:val="en-GB"/>
              </w:rPr>
              <w:t>/</w:t>
            </w:r>
          </w:p>
        </w:tc>
        <w:tc>
          <w:tcPr>
            <w:tcW w:w="1154" w:type="dxa"/>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779" w:type="dxa"/>
          </w:tcPr>
          <w:p w14:paraId="77BD72CA" w14:textId="2BF4B75D" w:rsidR="00BE7E30" w:rsidRDefault="00BE7E30">
            <w:pPr>
              <w:rPr>
                <w:rFonts w:ascii="Arial" w:hAnsi="Arial" w:cs="Arial"/>
                <w:b/>
                <w:bCs/>
                <w:sz w:val="24"/>
                <w:szCs w:val="24"/>
                <w:lang w:val="en-GB"/>
              </w:rPr>
            </w:pPr>
          </w:p>
        </w:tc>
      </w:tr>
      <w:tr w:rsidR="00EB1DC5" w:rsidRPr="00D854EE" w14:paraId="66740874" w14:textId="77777777" w:rsidTr="00D854EE">
        <w:tc>
          <w:tcPr>
            <w:tcW w:w="3261"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755" w:type="dxa"/>
            <w:gridSpan w:val="6"/>
          </w:tcPr>
          <w:p w14:paraId="7641499A" w14:textId="77777777" w:rsidR="00C659D3" w:rsidRDefault="00D854EE">
            <w:pPr>
              <w:rPr>
                <w:rFonts w:ascii="Arial" w:hAnsi="Arial" w:cs="Arial"/>
                <w:sz w:val="24"/>
                <w:szCs w:val="24"/>
                <w:lang w:val="en-GB"/>
              </w:rPr>
            </w:pPr>
            <w:r>
              <w:rPr>
                <w:rFonts w:ascii="Arial" w:hAnsi="Arial" w:cs="Arial"/>
                <w:sz w:val="24"/>
                <w:szCs w:val="24"/>
                <w:lang w:val="en-GB"/>
              </w:rPr>
              <w:t>IPAG Online</w:t>
            </w:r>
          </w:p>
          <w:p w14:paraId="637A50A0" w14:textId="04CECBCC" w:rsidR="000A0C6A" w:rsidRPr="009E6497" w:rsidRDefault="000A0C6A">
            <w:pPr>
              <w:rPr>
                <w:rFonts w:ascii="Arial" w:hAnsi="Arial" w:cs="Arial"/>
                <w:sz w:val="24"/>
                <w:szCs w:val="24"/>
                <w:lang w:val="en-GB"/>
              </w:rPr>
            </w:pPr>
            <w:proofErr w:type="spellStart"/>
            <w:r>
              <w:rPr>
                <w:rFonts w:ascii="Arial" w:hAnsi="Arial" w:cs="Arial"/>
                <w:sz w:val="24"/>
                <w:szCs w:val="24"/>
                <w:lang w:val="en-GB"/>
              </w:rPr>
              <w:t>Datascience</w:t>
            </w:r>
            <w:proofErr w:type="spellEnd"/>
            <w:r>
              <w:rPr>
                <w:rFonts w:ascii="Arial" w:hAnsi="Arial" w:cs="Arial"/>
                <w:sz w:val="24"/>
                <w:szCs w:val="24"/>
                <w:lang w:val="en-GB"/>
              </w:rPr>
              <w:t xml:space="preserve"> Track</w:t>
            </w:r>
          </w:p>
        </w:tc>
      </w:tr>
      <w:tr w:rsidR="00EB1DC5" w:rsidRPr="000A0C6A" w14:paraId="4C815C92" w14:textId="77777777" w:rsidTr="00D854EE">
        <w:tc>
          <w:tcPr>
            <w:tcW w:w="3261"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755" w:type="dxa"/>
            <w:gridSpan w:val="6"/>
          </w:tcPr>
          <w:p w14:paraId="531DD50C" w14:textId="77777777" w:rsidR="00AE2F47" w:rsidRDefault="000A0C6A">
            <w:pPr>
              <w:rPr>
                <w:rFonts w:ascii="Arial" w:hAnsi="Arial" w:cs="Arial"/>
                <w:sz w:val="24"/>
                <w:szCs w:val="24"/>
                <w:lang w:val="en-GB"/>
              </w:rPr>
            </w:pPr>
            <w:r>
              <w:rPr>
                <w:rFonts w:ascii="Arial" w:hAnsi="Arial" w:cs="Arial"/>
                <w:sz w:val="24"/>
                <w:szCs w:val="24"/>
                <w:lang w:val="en-GB"/>
              </w:rPr>
              <w:t>150 hours asynchronous</w:t>
            </w:r>
          </w:p>
          <w:p w14:paraId="37CE2C73" w14:textId="77777777" w:rsidR="000A0C6A" w:rsidRDefault="000A0C6A">
            <w:pPr>
              <w:rPr>
                <w:rFonts w:ascii="Arial" w:hAnsi="Arial" w:cs="Arial"/>
                <w:sz w:val="24"/>
                <w:szCs w:val="24"/>
                <w:lang w:val="en-GB"/>
              </w:rPr>
            </w:pPr>
            <w:r>
              <w:rPr>
                <w:rFonts w:ascii="Arial" w:hAnsi="Arial" w:cs="Arial"/>
                <w:sz w:val="24"/>
                <w:szCs w:val="24"/>
                <w:lang w:val="en-GB"/>
              </w:rPr>
              <w:t>10 lives meeting of 03 hours each</w:t>
            </w:r>
          </w:p>
          <w:p w14:paraId="09C10249" w14:textId="23D602C8" w:rsidR="000A0C6A" w:rsidRPr="009E6497" w:rsidRDefault="000A0C6A">
            <w:pPr>
              <w:rPr>
                <w:rFonts w:ascii="Arial" w:hAnsi="Arial" w:cs="Arial"/>
                <w:sz w:val="24"/>
                <w:szCs w:val="24"/>
                <w:lang w:val="en-GB"/>
              </w:rPr>
            </w:pPr>
            <w:r>
              <w:rPr>
                <w:rFonts w:ascii="Arial" w:hAnsi="Arial" w:cs="Arial"/>
                <w:sz w:val="24"/>
                <w:szCs w:val="24"/>
                <w:lang w:val="en-GB"/>
              </w:rPr>
              <w:t>Program attached</w:t>
            </w:r>
          </w:p>
        </w:tc>
      </w:tr>
    </w:tbl>
    <w:p w14:paraId="38581710" w14:textId="267984D9" w:rsidR="009E6497" w:rsidRDefault="009E6497">
      <w:pPr>
        <w:rPr>
          <w:rFonts w:ascii="Arial" w:hAnsi="Arial" w:cs="Arial"/>
          <w:b/>
          <w:bCs/>
          <w:sz w:val="24"/>
          <w:szCs w:val="24"/>
          <w:lang w:val="en-GB"/>
        </w:rPr>
      </w:pPr>
    </w:p>
    <w:tbl>
      <w:tblPr>
        <w:tblStyle w:val="Grilledutableau"/>
        <w:tblW w:w="0" w:type="auto"/>
        <w:tblLook w:val="04A0" w:firstRow="1" w:lastRow="0" w:firstColumn="1" w:lastColumn="0" w:noHBand="0" w:noVBand="1"/>
      </w:tblPr>
      <w:tblGrid>
        <w:gridCol w:w="9016"/>
      </w:tblGrid>
      <w:tr w:rsidR="009E6497" w:rsidRPr="000A0C6A"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0A0C6A" w14:paraId="4F5066D1" w14:textId="77777777" w:rsidTr="009E6497">
        <w:tc>
          <w:tcPr>
            <w:tcW w:w="9016" w:type="dxa"/>
          </w:tcPr>
          <w:p w14:paraId="3D0BAD8B" w14:textId="77777777" w:rsidR="009E6497" w:rsidRPr="003327F6" w:rsidRDefault="009E6497">
            <w:pPr>
              <w:rPr>
                <w:rFonts w:ascii="Arial" w:hAnsi="Arial" w:cs="Arial"/>
                <w:lang w:val="en-GB"/>
              </w:rPr>
            </w:pPr>
          </w:p>
          <w:p w14:paraId="1DC951B6" w14:textId="7209F064" w:rsidR="00D854EE" w:rsidRPr="003327F6" w:rsidRDefault="000A0C6A" w:rsidP="00D854EE">
            <w:pPr>
              <w:rPr>
                <w:rFonts w:ascii="Arial" w:hAnsi="Arial" w:cs="Arial"/>
                <w:lang w:val="en-GB"/>
              </w:rPr>
            </w:pPr>
            <w:r w:rsidRPr="000A0C6A">
              <w:rPr>
                <w:rFonts w:ascii="Arial" w:hAnsi="Arial" w:cs="Arial"/>
                <w:lang w:val="en-GB"/>
              </w:rPr>
              <w:t>The MSc IPAG Online is available in 4 specialisations. One of them concerns digital marketing in a data analysis context. As the technical programming of data is not a direct expertise of IPAG, this specialisation is open in co-</w:t>
            </w:r>
            <w:proofErr w:type="spellStart"/>
            <w:r w:rsidRPr="000A0C6A">
              <w:rPr>
                <w:rFonts w:ascii="Arial" w:hAnsi="Arial" w:cs="Arial"/>
                <w:lang w:val="en-GB"/>
              </w:rPr>
              <w:t>diplomation</w:t>
            </w:r>
            <w:proofErr w:type="spellEnd"/>
            <w:r w:rsidRPr="000A0C6A">
              <w:rPr>
                <w:rFonts w:ascii="Arial" w:hAnsi="Arial" w:cs="Arial"/>
                <w:lang w:val="en-GB"/>
              </w:rPr>
              <w:t xml:space="preserve"> with a teaching partner, owner of its own LMS tools in a 100% online context.</w:t>
            </w:r>
          </w:p>
        </w:tc>
      </w:tr>
      <w:tr w:rsidR="009E6497" w:rsidRPr="000A0C6A"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0A0C6A" w14:paraId="2D21BEE6" w14:textId="77777777" w:rsidTr="009E6497">
        <w:tc>
          <w:tcPr>
            <w:tcW w:w="9016" w:type="dxa"/>
          </w:tcPr>
          <w:p w14:paraId="13A83395" w14:textId="77777777" w:rsidR="009E6497" w:rsidRPr="003327F6" w:rsidRDefault="009E6497">
            <w:pPr>
              <w:rPr>
                <w:rFonts w:ascii="Arial" w:hAnsi="Arial" w:cs="Arial"/>
                <w:lang w:val="en-GB"/>
              </w:rPr>
            </w:pPr>
          </w:p>
          <w:p w14:paraId="0B34D034" w14:textId="5C7CBD28" w:rsidR="00AE2F47" w:rsidRDefault="000A0C6A" w:rsidP="00D854EE">
            <w:pPr>
              <w:pStyle w:val="Paragraphedeliste"/>
              <w:numPr>
                <w:ilvl w:val="0"/>
                <w:numId w:val="1"/>
              </w:numPr>
              <w:rPr>
                <w:rFonts w:ascii="Arial" w:hAnsi="Arial" w:cs="Arial"/>
                <w:lang w:val="en-GB"/>
              </w:rPr>
            </w:pPr>
            <w:r>
              <w:rPr>
                <w:rFonts w:ascii="Arial" w:hAnsi="Arial" w:cs="Arial"/>
                <w:lang w:val="en-GB"/>
              </w:rPr>
              <w:t>IPAG LMS</w:t>
            </w:r>
          </w:p>
          <w:p w14:paraId="38719228" w14:textId="36801D1C" w:rsidR="000A0C6A" w:rsidRDefault="000A0C6A" w:rsidP="00D854EE">
            <w:pPr>
              <w:pStyle w:val="Paragraphedeliste"/>
              <w:numPr>
                <w:ilvl w:val="0"/>
                <w:numId w:val="1"/>
              </w:numPr>
              <w:rPr>
                <w:rFonts w:ascii="Arial" w:hAnsi="Arial" w:cs="Arial"/>
                <w:lang w:val="en-GB"/>
              </w:rPr>
            </w:pPr>
            <w:proofErr w:type="spellStart"/>
            <w:r>
              <w:rPr>
                <w:rFonts w:ascii="Arial" w:hAnsi="Arial" w:cs="Arial"/>
                <w:lang w:val="en-GB"/>
              </w:rPr>
              <w:t>Datascientest</w:t>
            </w:r>
            <w:proofErr w:type="spellEnd"/>
            <w:r>
              <w:rPr>
                <w:rFonts w:ascii="Arial" w:hAnsi="Arial" w:cs="Arial"/>
                <w:lang w:val="en-GB"/>
              </w:rPr>
              <w:t xml:space="preserve"> LMS</w:t>
            </w:r>
          </w:p>
          <w:p w14:paraId="6BE99682" w14:textId="4A4017D1" w:rsidR="000A0C6A" w:rsidRDefault="000A0C6A" w:rsidP="00D854EE">
            <w:pPr>
              <w:pStyle w:val="Paragraphedeliste"/>
              <w:numPr>
                <w:ilvl w:val="0"/>
                <w:numId w:val="1"/>
              </w:numPr>
              <w:rPr>
                <w:rFonts w:ascii="Arial" w:hAnsi="Arial" w:cs="Arial"/>
                <w:lang w:val="en-GB"/>
              </w:rPr>
            </w:pPr>
            <w:r>
              <w:rPr>
                <w:rFonts w:ascii="Arial" w:hAnsi="Arial" w:cs="Arial"/>
                <w:lang w:val="en-GB"/>
              </w:rPr>
              <w:t>SSO links between the platforms</w:t>
            </w:r>
          </w:p>
          <w:p w14:paraId="17DE9408" w14:textId="4001D9F5" w:rsidR="000A0C6A" w:rsidRPr="00D854EE" w:rsidRDefault="000A0C6A" w:rsidP="00D854EE">
            <w:pPr>
              <w:pStyle w:val="Paragraphedeliste"/>
              <w:numPr>
                <w:ilvl w:val="0"/>
                <w:numId w:val="1"/>
              </w:numPr>
              <w:rPr>
                <w:rFonts w:ascii="Arial" w:hAnsi="Arial" w:cs="Arial"/>
                <w:lang w:val="en-GB"/>
              </w:rPr>
            </w:pPr>
            <w:r>
              <w:rPr>
                <w:rFonts w:ascii="Arial" w:hAnsi="Arial" w:cs="Arial"/>
                <w:lang w:val="en-GB"/>
              </w:rPr>
              <w:t>Zoom and Teams for live meeting</w:t>
            </w:r>
          </w:p>
          <w:p w14:paraId="6C12ED2D" w14:textId="0975E73D" w:rsidR="00AE2F47" w:rsidRPr="003327F6" w:rsidRDefault="00AE2F47">
            <w:pPr>
              <w:rPr>
                <w:rFonts w:ascii="Arial" w:hAnsi="Arial" w:cs="Arial"/>
                <w:lang w:val="en-GB"/>
              </w:rPr>
            </w:pPr>
          </w:p>
        </w:tc>
      </w:tr>
      <w:tr w:rsidR="009E6497" w:rsidRPr="000A0C6A"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proofErr w:type="gramStart"/>
            <w:r w:rsidR="00BD7E70">
              <w:rPr>
                <w:rFonts w:ascii="Arial" w:hAnsi="Arial" w:cs="Arial"/>
                <w:lang w:val="en-GB"/>
              </w:rPr>
              <w:t>are</w:t>
            </w:r>
            <w:proofErr w:type="gramEnd"/>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0A0C6A" w14:paraId="08B2F2D3" w14:textId="77777777" w:rsidTr="009E6497">
        <w:tc>
          <w:tcPr>
            <w:tcW w:w="9016" w:type="dxa"/>
          </w:tcPr>
          <w:p w14:paraId="35E815A2" w14:textId="77777777" w:rsidR="009E6497" w:rsidRPr="003327F6" w:rsidRDefault="009E6497">
            <w:pPr>
              <w:rPr>
                <w:rFonts w:ascii="Arial" w:hAnsi="Arial" w:cs="Arial"/>
                <w:lang w:val="en-GB"/>
              </w:rPr>
            </w:pPr>
          </w:p>
          <w:p w14:paraId="0CED5A6E" w14:textId="79B19464" w:rsidR="00911E4E" w:rsidRPr="003327F6" w:rsidRDefault="000A0C6A" w:rsidP="00D854EE">
            <w:pPr>
              <w:rPr>
                <w:rFonts w:ascii="Arial" w:hAnsi="Arial" w:cs="Arial"/>
                <w:lang w:val="en-GB"/>
              </w:rPr>
            </w:pPr>
            <w:r w:rsidRPr="000A0C6A">
              <w:rPr>
                <w:rFonts w:ascii="Arial" w:hAnsi="Arial" w:cs="Arial"/>
                <w:lang w:val="en-GB"/>
              </w:rPr>
              <w:t>The use of 2 LMS and 2 different teams was a great technical and pedagogical challenge for the teams. In order to optimise the learning experience, it was necessary to focus on regular remediation and question and answer sessions with the learners.</w:t>
            </w:r>
          </w:p>
        </w:tc>
      </w:tr>
      <w:tr w:rsidR="009E6497" w:rsidRPr="000A0C6A"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t>If you have additional notes or comments, or want to provide a link to online materials, please put them here:</w:t>
            </w:r>
          </w:p>
        </w:tc>
      </w:tr>
      <w:tr w:rsidR="00911E4E" w:rsidRPr="00D854EE" w14:paraId="308710DF" w14:textId="77777777" w:rsidTr="009E6497">
        <w:tc>
          <w:tcPr>
            <w:tcW w:w="9016" w:type="dxa"/>
          </w:tcPr>
          <w:p w14:paraId="2893288A" w14:textId="748F778E" w:rsidR="00911E4E" w:rsidRPr="003327F6" w:rsidRDefault="000A0C6A" w:rsidP="00D854EE">
            <w:pPr>
              <w:jc w:val="center"/>
              <w:rPr>
                <w:rFonts w:ascii="Arial" w:hAnsi="Arial" w:cs="Arial"/>
                <w:lang w:val="en-GB"/>
              </w:rPr>
            </w:pPr>
            <w:r w:rsidRPr="000A0C6A">
              <w:rPr>
                <w:rFonts w:ascii="Arial" w:hAnsi="Arial" w:cs="Arial"/>
                <w:lang w:val="en-GB"/>
              </w:rPr>
              <w:t>https://datascientest.com/</w:t>
            </w:r>
            <w:bookmarkStart w:id="0" w:name="_GoBack"/>
            <w:bookmarkEnd w:id="0"/>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645707"/>
    <w:multiLevelType w:val="hybridMultilevel"/>
    <w:tmpl w:val="AF20F74C"/>
    <w:lvl w:ilvl="0" w:tplc="A2F409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D3"/>
    <w:rsid w:val="000A0C6A"/>
    <w:rsid w:val="000D0795"/>
    <w:rsid w:val="003327F6"/>
    <w:rsid w:val="004C0DE6"/>
    <w:rsid w:val="005B71B2"/>
    <w:rsid w:val="006F416D"/>
    <w:rsid w:val="008301D3"/>
    <w:rsid w:val="00831E44"/>
    <w:rsid w:val="00911E4E"/>
    <w:rsid w:val="009D013C"/>
    <w:rsid w:val="009E6497"/>
    <w:rsid w:val="00A25DC6"/>
    <w:rsid w:val="00AE2F47"/>
    <w:rsid w:val="00BD7E70"/>
    <w:rsid w:val="00BE7E30"/>
    <w:rsid w:val="00C659D3"/>
    <w:rsid w:val="00C771FF"/>
    <w:rsid w:val="00D17012"/>
    <w:rsid w:val="00D854EE"/>
    <w:rsid w:val="00DB7319"/>
    <w:rsid w:val="00E15E1B"/>
    <w:rsid w:val="00EB1DC5"/>
    <w:rsid w:val="00ED7B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54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68D85026206E4BABA75D5BE499DCCA" ma:contentTypeVersion="16" ma:contentTypeDescription="Crée un document." ma:contentTypeScope="" ma:versionID="8096600c01a7e4cb1096b6c225ec7a21">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e7d585d1e193ac652ea86342989da6d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334642-9586-4451-9109-98C11EF956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4C0C96-5551-4A72-95CB-8E9659F6CA1E}"/>
</file>

<file path=customXml/itemProps3.xml><?xml version="1.0" encoding="utf-8"?>
<ds:datastoreItem xmlns:ds="http://schemas.openxmlformats.org/officeDocument/2006/customXml" ds:itemID="{80538D1D-DC7A-4E7B-B8E1-CF54C21380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283</Words>
  <Characters>1561</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BURAUD Aurélien</cp:lastModifiedBy>
  <cp:revision>4</cp:revision>
  <dcterms:created xsi:type="dcterms:W3CDTF">2022-10-13T14:24:00Z</dcterms:created>
  <dcterms:modified xsi:type="dcterms:W3CDTF">2022-10-23T08:33:00Z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